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¿Cuál no es una fase de la violencia de género?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46" type="#_x0000_t75" style="width:20.25pt;height:17.25pt" o:ole="">
            <v:imagedata r:id="rId4" o:title=""/>
          </v:shape>
          <w:control r:id="rId5" w:name="DefaultOcxName" w:shapeid="_x0000_i124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Fase de explosión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45" type="#_x0000_t75" style="width:20.25pt;height:17.25pt" o:ole="">
            <v:imagedata r:id="rId4" o:title=""/>
          </v:shape>
          <w:control r:id="rId6" w:name="DefaultOcxName1" w:shapeid="_x0000_i124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Fase de formación de la tensión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44" type="#_x0000_t75" style="width:20.25pt;height:17.25pt" o:ole="">
            <v:imagedata r:id="rId7" o:title=""/>
          </v:shape>
          <w:control r:id="rId8" w:name="DefaultOcxName2" w:shapeid="_x0000_i124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Fase de violencia 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43" type="#_x0000_t75" style="width:20.25pt;height:17.25pt" o:ole="">
            <v:imagedata r:id="rId4" o:title=""/>
          </v:shape>
          <w:control r:id="rId9" w:name="DefaultOcxName3" w:shapeid="_x0000_i124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Fase de reconciliación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Fase de violencia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2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Incorrecta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0,00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42" type="#_x0000_t75" style="width:1in;height:1in" o:ole="">
            <v:imagedata r:id="rId10" o:title=""/>
          </v:shape>
          <w:control r:id="rId11" w:name="DefaultOcxName4" w:shapeid="_x0000_i124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¿En qué supuestos no se pueden realizar juicios rápidos?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41" type="#_x0000_t75" style="width:20.25pt;height:17.25pt" o:ole="">
            <v:imagedata r:id="rId4" o:title=""/>
          </v:shape>
          <w:control r:id="rId12" w:name="DefaultOcxName5" w:shapeid="_x0000_i124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Todos ellos son supuestos en los que no se puede hacer un juicio rápido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40" type="#_x0000_t75" style="width:20.25pt;height:17.25pt" o:ole="">
            <v:imagedata r:id="rId4" o:title=""/>
          </v:shape>
          <w:control r:id="rId13" w:name="DefaultOcxName6" w:shapeid="_x0000_i124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En los que haya que practicar exámenes médicos a la víctima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9" type="#_x0000_t75" style="width:20.25pt;height:17.25pt" o:ole="">
            <v:imagedata r:id="rId4" o:title=""/>
          </v:shape>
          <w:control r:id="rId14" w:name="DefaultOcxName7" w:shapeid="_x0000_i123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Aquellos casos en los que no se puede localizar al agresor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8" type="#_x0000_t75" style="width:20.25pt;height:17.25pt" o:ole="">
            <v:imagedata r:id="rId7" o:title=""/>
          </v:shape>
          <w:control r:id="rId15" w:name="DefaultOcxName8" w:shapeid="_x0000_i123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Aquellos casos en los que se presuma que la instrucción va a ser compleja 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Todos ellos son supuestos en los que no se puede hacer un juicio rápido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3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37" type="#_x0000_t75" style="width:1in;height:1in" o:ole="">
            <v:imagedata r:id="rId10" o:title=""/>
          </v:shape>
          <w:control r:id="rId16" w:name="DefaultOcxName9" w:shapeid="_x0000_i123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Es una competencia del orden civil: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6" type="#_x0000_t75" style="width:20.25pt;height:17.25pt" o:ole="">
            <v:imagedata r:id="rId4" o:title=""/>
          </v:shape>
          <w:control r:id="rId17" w:name="DefaultOcxName10" w:shapeid="_x0000_i123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Que se trate de un proceso civil de nulidad del matrimonio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235" type="#_x0000_t75" style="width:20.25pt;height:17.25pt" o:ole="">
            <v:imagedata r:id="rId7" o:title=""/>
          </v:shape>
          <w:control r:id="rId18" w:name="DefaultOcxName11" w:shapeid="_x0000_i123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Todas las opciones son correctas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4" type="#_x0000_t75" style="width:20.25pt;height:17.25pt" o:ole="">
            <v:imagedata r:id="rId4" o:title=""/>
          </v:shape>
          <w:control r:id="rId19" w:name="DefaultOcxName12" w:shapeid="_x0000_i123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Que alguna de las partes sea imputado como autor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3" type="#_x0000_t75" style="width:20.25pt;height:17.25pt" o:ole="">
            <v:imagedata r:id="rId4" o:title=""/>
          </v:shape>
          <w:control r:id="rId20" w:name="DefaultOcxName13" w:shapeid="_x0000_i123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Se haya adoptado una orden de protección a una víctima de violencia de género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4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32" type="#_x0000_t75" style="width:1in;height:1in" o:ole="">
            <v:imagedata r:id="rId10" o:title=""/>
          </v:shape>
          <w:control r:id="rId21" w:name="DefaultOcxName14" w:shapeid="_x0000_i123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Es una conducta que se puede observar durante la fase de reconciliación: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1" type="#_x0000_t75" style="width:20.25pt;height:17.25pt" o:ole="">
            <v:imagedata r:id="rId4" o:title=""/>
          </v:shape>
          <w:control r:id="rId22" w:name="DefaultOcxName15" w:shapeid="_x0000_i123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Cambio de conducta del agresor a protector y conciliador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30" type="#_x0000_t75" style="width:20.25pt;height:17.25pt" o:ole="">
            <v:imagedata r:id="rId4" o:title=""/>
          </v:shape>
          <w:control r:id="rId23" w:name="DefaultOcxName16" w:shapeid="_x0000_i123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Petición de perdón del agresor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9" type="#_x0000_t75" style="width:20.25pt;height:17.25pt" o:ole="">
            <v:imagedata r:id="rId7" o:title=""/>
          </v:shape>
          <w:control r:id="rId24" w:name="DefaultOcxName17" w:shapeid="_x0000_i122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Todas las opciones son correctas 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8" type="#_x0000_t75" style="width:20.25pt;height:17.25pt" o:ole="">
            <v:imagedata r:id="rId4" o:title=""/>
          </v:shape>
          <w:control r:id="rId25" w:name="DefaultOcxName18" w:shapeid="_x0000_i122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Vuelta a la normalidad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5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27" type="#_x0000_t75" style="width:1in;height:1in" o:ole="">
            <v:imagedata r:id="rId10" o:title=""/>
          </v:shape>
          <w:control r:id="rId26" w:name="DefaultOcxName19" w:shapeid="_x0000_i122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La valoración social recogerá datos, entre los que no se encuentran: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6" type="#_x0000_t75" style="width:20.25pt;height:17.25pt" o:ole="">
            <v:imagedata r:id="rId7" o:title=""/>
          </v:shape>
          <w:control r:id="rId27" w:name="DefaultOcxName20" w:shapeid="_x0000_i122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Antecedentes personales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5" type="#_x0000_t75" style="width:20.25pt;height:17.25pt" o:ole="">
            <v:imagedata r:id="rId4" o:title=""/>
          </v:shape>
          <w:control r:id="rId28" w:name="DefaultOcxName21" w:shapeid="_x0000_i122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Qué información se le ha proporcionado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4" type="#_x0000_t75" style="width:20.25pt;height:17.25pt" o:ole="">
            <v:imagedata r:id="rId4" o:title=""/>
          </v:shape>
          <w:control r:id="rId29" w:name="DefaultOcxName22" w:shapeid="_x0000_i122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Antecedentes de maltrato o agresión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3" type="#_x0000_t75" style="width:20.25pt;height:17.25pt" o:ole="">
            <v:imagedata r:id="rId4" o:title=""/>
          </v:shape>
          <w:control r:id="rId30" w:name="DefaultOcxName23" w:shapeid="_x0000_i122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Con quién ha acudido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lastRenderedPageBreak/>
        <w:t>La respuesta correcta es: Antecedentes personales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6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22" type="#_x0000_t75" style="width:1in;height:1in" o:ole="">
            <v:imagedata r:id="rId10" o:title=""/>
          </v:shape>
          <w:control r:id="rId31" w:name="DefaultOcxName24" w:shapeid="_x0000_i122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 criterio de derivación urgente a los servicios de salud mental dentro de una persona que ha sufrido violencia de género: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1" type="#_x0000_t75" style="width:20.25pt;height:17.25pt" o:ole="">
            <v:imagedata r:id="rId4" o:title=""/>
          </v:shape>
          <w:control r:id="rId32" w:name="DefaultOcxName25" w:shapeid="_x0000_i122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Crisis aguda de ansiedad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20" type="#_x0000_t75" style="width:20.25pt;height:17.25pt" o:ole="">
            <v:imagedata r:id="rId4" o:title=""/>
          </v:shape>
          <w:control r:id="rId33" w:name="DefaultOcxName26" w:shapeid="_x0000_i122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Planificación autolítica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9" type="#_x0000_t75" style="width:20.25pt;height:17.25pt" o:ole="">
            <v:imagedata r:id="rId4" o:title=""/>
          </v:shape>
          <w:control r:id="rId34" w:name="DefaultOcxName27" w:shapeid="_x0000_i121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Episodios de agitación psicomotriz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8" type="#_x0000_t75" style="width:20.25pt;height:17.25pt" o:ole="">
            <v:imagedata r:id="rId7" o:title=""/>
          </v:shape>
          <w:control r:id="rId35" w:name="DefaultOcxName28" w:shapeid="_x0000_i121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Trastornos de estrés postraumático 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Trastornos de estrés postraumático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7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17" type="#_x0000_t75" style="width:1in;height:1in" o:ole="">
            <v:imagedata r:id="rId10" o:title=""/>
          </v:shape>
          <w:control r:id="rId36" w:name="DefaultOcxName29" w:shapeid="_x0000_i121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 objetivo específico del protocolo de actuación de la detección y atención a la violencia de género: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6" type="#_x0000_t75" style="width:20.25pt;height:17.25pt" o:ole="">
            <v:imagedata r:id="rId7" o:title=""/>
          </v:shape>
          <w:control r:id="rId37" w:name="DefaultOcxName30" w:shapeid="_x0000_i121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Promover la independencia económica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5" type="#_x0000_t75" style="width:20.25pt;height:17.25pt" o:ole="">
            <v:imagedata r:id="rId4" o:title=""/>
          </v:shape>
          <w:control r:id="rId38" w:name="DefaultOcxName31" w:shapeid="_x0000_i121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Destacar las situaciones de especial vulnerabilidad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4" type="#_x0000_t75" style="width:20.25pt;height:17.25pt" o:ole="">
            <v:imagedata r:id="rId4" o:title=""/>
          </v:shape>
          <w:control r:id="rId39" w:name="DefaultOcxName32" w:shapeid="_x0000_i121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Actualizar el conocimiento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3" type="#_x0000_t75" style="width:20.25pt;height:17.25pt" o:ole="">
            <v:imagedata r:id="rId4" o:title=""/>
          </v:shape>
          <w:control r:id="rId40" w:name="DefaultOcxName33" w:shapeid="_x0000_i121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Difundir este tipo de conocimiento entre los profesionales sanitarios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Promover la independencia económica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8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Incorrecta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t>Puntúa 0,00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12" type="#_x0000_t75" style="width:1in;height:1in" o:ole="">
            <v:imagedata r:id="rId10" o:title=""/>
          </v:shape>
          <w:control r:id="rId41" w:name="DefaultOcxName34" w:shapeid="_x0000_i121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 supuesto por el que se pueda tramitar un juicio rápido: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1" type="#_x0000_t75" style="width:20.25pt;height:17.25pt" o:ole="">
            <v:imagedata r:id="rId7" o:title=""/>
          </v:shape>
          <w:control r:id="rId42" w:name="DefaultOcxName35" w:shapeid="_x0000_i121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Aquellos con una instrucción presumiblemente sencilla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10" type="#_x0000_t75" style="width:20.25pt;height:17.25pt" o:ole="">
            <v:imagedata r:id="rId4" o:title=""/>
          </v:shape>
          <w:control r:id="rId43" w:name="DefaultOcxName36" w:shapeid="_x0000_i121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Delitos que se traten como flagrantes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9" type="#_x0000_t75" style="width:20.25pt;height:17.25pt" o:ole="">
            <v:imagedata r:id="rId4" o:title=""/>
          </v:shape>
          <w:control r:id="rId44" w:name="DefaultOcxName37" w:shapeid="_x0000_i120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Delitos tipificados como violencia de género y doméstica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8" type="#_x0000_t75" style="width:20.25pt;height:17.25pt" o:ole="">
            <v:imagedata r:id="rId4" o:title=""/>
          </v:shape>
          <w:control r:id="rId45" w:name="DefaultOcxName38" w:shapeid="_x0000_i120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Aquellos en los que les haya que practicar un examen psicológico a la víctima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Aquellos en los que les haya que practicar un examen psicológico a la víctima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9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07" type="#_x0000_t75" style="width:1in;height:1in" o:ole="">
            <v:imagedata r:id="rId10" o:title=""/>
          </v:shape>
          <w:control r:id="rId46" w:name="DefaultOcxName39" w:shapeid="_x0000_i120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una conducta de resistencia: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6" type="#_x0000_t75" style="width:20.25pt;height:17.25pt" o:ole="">
            <v:imagedata r:id="rId4" o:title=""/>
          </v:shape>
          <w:control r:id="rId47" w:name="DefaultOcxName40" w:shapeid="_x0000_i120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Negación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5" type="#_x0000_t75" style="width:20.25pt;height:17.25pt" o:ole="">
            <v:imagedata r:id="rId7" o:title=""/>
          </v:shape>
          <w:control r:id="rId48" w:name="DefaultOcxName41" w:shapeid="_x0000_i120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Racionalización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4" type="#_x0000_t75" style="width:20.25pt;height:17.25pt" o:ole="">
            <v:imagedata r:id="rId4" o:title=""/>
          </v:shape>
          <w:control r:id="rId49" w:name="DefaultOcxName42" w:shapeid="_x0000_i120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Poner a prueba los conocimientos del profesional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3" type="#_x0000_t75" style="width:20.25pt;height:17.25pt" o:ole="">
            <v:imagedata r:id="rId4" o:title=""/>
          </v:shape>
          <w:control r:id="rId50" w:name="DefaultOcxName43" w:shapeid="_x0000_i120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Interrupciones de manera defensiva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Racionalización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10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202" type="#_x0000_t75" style="width:1in;height:1in" o:ole="">
            <v:imagedata r:id="rId10" o:title=""/>
          </v:shape>
          <w:control r:id="rId51" w:name="DefaultOcxName44" w:shapeid="_x0000_i120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una estrategia de la entrevista motivacional: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1" type="#_x0000_t75" style="width:20.25pt;height:17.25pt" o:ole="">
            <v:imagedata r:id="rId4" o:title=""/>
          </v:shape>
          <w:control r:id="rId52" w:name="DefaultOcxName45" w:shapeid="_x0000_i120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Escucha reflexiva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0" type="#_x0000_t75" style="width:20.25pt;height:17.25pt" o:ole="">
            <v:imagedata r:id="rId7" o:title=""/>
          </v:shape>
          <w:control r:id="rId53" w:name="DefaultOcxName46" w:shapeid="_x0000_i120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Técnica del disco rayado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9" type="#_x0000_t75" style="width:20.25pt;height:17.25pt" o:ole="">
            <v:imagedata r:id="rId4" o:title=""/>
          </v:shape>
          <w:control r:id="rId54" w:name="DefaultOcxName47" w:shapeid="_x0000_i119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Recapitulación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8" type="#_x0000_t75" style="width:20.25pt;height:17.25pt" o:ole="">
            <v:imagedata r:id="rId4" o:title=""/>
          </v:shape>
          <w:control r:id="rId55" w:name="DefaultOcxName48" w:shapeid="_x0000_i119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Preguntas abiertas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Técnica del disco rayado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11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7" type="#_x0000_t75" style="width:1in;height:1in" o:ole="">
            <v:imagedata r:id="rId10" o:title=""/>
          </v:shape>
          <w:control r:id="rId56" w:name="DefaultOcxName49" w:shapeid="_x0000_i119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una medida de asistencia y protección social: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6" type="#_x0000_t75" style="width:20.25pt;height:17.25pt" o:ole="">
            <v:imagedata r:id="rId4" o:title=""/>
          </v:shape>
          <w:control r:id="rId57" w:name="DefaultOcxName50" w:shapeid="_x0000_i119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Acceso a viviendas protegidas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5" type="#_x0000_t75" style="width:20.25pt;height:17.25pt" o:ole="">
            <v:imagedata r:id="rId4" o:title=""/>
          </v:shape>
          <w:control r:id="rId58" w:name="DefaultOcxName51" w:shapeid="_x0000_i119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Ayuda económica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4" type="#_x0000_t75" style="width:20.25pt;height:17.25pt" o:ole="">
            <v:imagedata r:id="rId4" o:title=""/>
          </v:shape>
          <w:control r:id="rId59" w:name="DefaultOcxName52" w:shapeid="_x0000_i119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Renta de inserción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3" type="#_x0000_t75" style="width:20.25pt;height:17.25pt" o:ole="">
            <v:imagedata r:id="rId7" o:title=""/>
          </v:shape>
          <w:control r:id="rId60" w:name="DefaultOcxName53" w:shapeid="_x0000_i119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Pensión mínima no contributiva 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Pensión mínima no contributiva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12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2" type="#_x0000_t75" style="width:1in;height:1in" o:ole="">
            <v:imagedata r:id="rId10" o:title=""/>
          </v:shape>
          <w:control r:id="rId61" w:name="DefaultOcxName54" w:shapeid="_x0000_i119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No es una medida de tipo penal: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1" type="#_x0000_t75" style="width:20.25pt;height:17.25pt" o:ole="">
            <v:imagedata r:id="rId4" o:title=""/>
          </v:shape>
          <w:control r:id="rId62" w:name="DefaultOcxName55" w:shapeid="_x0000_i119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Prohibición de aproximación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0" type="#_x0000_t75" style="width:20.25pt;height:17.25pt" o:ole="">
            <v:imagedata r:id="rId4" o:title=""/>
          </v:shape>
          <w:control r:id="rId63" w:name="DefaultOcxName56" w:shapeid="_x0000_i119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Prisión provisional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9" type="#_x0000_t75" style="width:20.25pt;height:17.25pt" o:ole="">
            <v:imagedata r:id="rId4" o:title=""/>
          </v:shape>
          <w:control r:id="rId64" w:name="DefaultOcxName57" w:shapeid="_x0000_i118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Prohibición de residencia en un lugar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8" type="#_x0000_t75" style="width:20.25pt;height:17.25pt" o:ole="">
            <v:imagedata r:id="rId7" o:title=""/>
          </v:shape>
          <w:control r:id="rId65" w:name="DefaultOcxName58" w:shapeid="_x0000_i118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Prohibición de retirada de armas 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Prohibición de retirada de armas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13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7" type="#_x0000_t75" style="width:1in;height:1in" o:ole="">
            <v:imagedata r:id="rId10" o:title=""/>
          </v:shape>
          <w:control r:id="rId66" w:name="DefaultOcxName59" w:shapeid="_x0000_i118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¿Qué objetivos tiene el sistema VIOGEN?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6" type="#_x0000_t75" style="width:20.25pt;height:17.25pt" o:ole="">
            <v:imagedata r:id="rId4" o:title=""/>
          </v:shape>
          <w:control r:id="rId67" w:name="DefaultOcxName60" w:shapeid="_x0000_i118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Evaluar el nivel de riesgo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5" type="#_x0000_t75" style="width:20.25pt;height:17.25pt" o:ole="">
            <v:imagedata r:id="rId7" o:title=""/>
          </v:shape>
          <w:control r:id="rId68" w:name="DefaultOcxName61" w:shapeid="_x0000_i118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Todas las opciones son correctas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4" type="#_x0000_t75" style="width:20.25pt;height:17.25pt" o:ole="">
            <v:imagedata r:id="rId4" o:title=""/>
          </v:shape>
          <w:control r:id="rId69" w:name="DefaultOcxName62" w:shapeid="_x0000_i118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Proporcionar a la víctima un plan de seguridad personalizado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3" type="#_x0000_t75" style="width:20.25pt;height:17.25pt" o:ole="">
            <v:imagedata r:id="rId4" o:title=""/>
          </v:shape>
          <w:control r:id="rId70" w:name="DefaultOcxName63" w:shapeid="_x0000_i118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Realizar la predicción del riesgo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14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2" type="#_x0000_t75" style="width:1in;height:1in" o:ole="">
            <v:imagedata r:id="rId10" o:title=""/>
          </v:shape>
          <w:control r:id="rId71" w:name="DefaultOcxName64" w:shapeid="_x0000_i1182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¿Qué temporalidad tiene una orden de protección?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1" type="#_x0000_t75" style="width:20.25pt;height:17.25pt" o:ole="">
            <v:imagedata r:id="rId4" o:title=""/>
          </v:shape>
          <w:control r:id="rId72" w:name="DefaultOcxName65" w:shapeid="_x0000_i1181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Ninguna de las opciones es correcta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80" type="#_x0000_t75" style="width:20.25pt;height:17.25pt" o:ole="">
            <v:imagedata r:id="rId7" o:title=""/>
          </v:shape>
          <w:control r:id="rId73" w:name="DefaultOcxName66" w:shapeid="_x0000_i1180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Provisional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9" type="#_x0000_t75" style="width:20.25pt;height:17.25pt" o:ole="">
            <v:imagedata r:id="rId4" o:title=""/>
          </v:shape>
          <w:control r:id="rId74" w:name="DefaultOcxName67" w:shapeid="_x0000_i1179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Definitiva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8" type="#_x0000_t75" style="width:20.25pt;height:17.25pt" o:ole="">
            <v:imagedata r:id="rId4" o:title=""/>
          </v:shape>
          <w:control r:id="rId75" w:name="DefaultOcxName68" w:shapeid="_x0000_i1178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Intermitente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Provisional</w:t>
      </w:r>
    </w:p>
    <w:p w:rsidR="00FF506D" w:rsidRPr="00FF506D" w:rsidRDefault="00FF506D" w:rsidP="00FF506D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FF506D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15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FF506D" w:rsidRPr="00FF506D" w:rsidRDefault="00FF506D" w:rsidP="00FF506D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FF506D" w:rsidRPr="00FF506D" w:rsidRDefault="00FF506D" w:rsidP="00FF506D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7" type="#_x0000_t75" style="width:1in;height:1in" o:ole="">
            <v:imagedata r:id="rId10" o:title=""/>
          </v:shape>
          <w:control r:id="rId76" w:name="DefaultOcxName69" w:shapeid="_x0000_i1177"/>
        </w:object>
      </w:r>
      <w:r w:rsidRPr="00FF506D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FF506D" w:rsidRPr="00FF506D" w:rsidRDefault="00FF506D" w:rsidP="00FF506D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FF506D" w:rsidRPr="00FF506D" w:rsidRDefault="00FF506D" w:rsidP="00FF506D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¿Quién puede denunciar un delito?</w:t>
      </w:r>
    </w:p>
    <w:p w:rsidR="00FF506D" w:rsidRPr="00FF506D" w:rsidRDefault="00FF506D" w:rsidP="00FF506D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6" type="#_x0000_t75" style="width:20.25pt;height:17.25pt" o:ole="">
            <v:imagedata r:id="rId7" o:title=""/>
          </v:shape>
          <w:control r:id="rId77" w:name="DefaultOcxName70" w:shapeid="_x0000_i1176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a. Cualquiera que tenga conocimiento del hecho 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5" type="#_x0000_t75" style="width:20.25pt;height:17.25pt" o:ole="">
            <v:imagedata r:id="rId4" o:title=""/>
          </v:shape>
          <w:control r:id="rId78" w:name="DefaultOcxName71" w:shapeid="_x0000_i1175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b. Sólo la víctima</w:t>
      </w:r>
    </w:p>
    <w:p w:rsidR="00FF506D" w:rsidRPr="00FF506D" w:rsidRDefault="00FF506D" w:rsidP="00FF506D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4" type="#_x0000_t75" style="width:20.25pt;height:17.25pt" o:ole="">
            <v:imagedata r:id="rId4" o:title=""/>
          </v:shape>
          <w:control r:id="rId79" w:name="DefaultOcxName72" w:shapeid="_x0000_i1174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c. Ninguna de las opciones es correcta</w:t>
      </w:r>
    </w:p>
    <w:p w:rsidR="00FF506D" w:rsidRPr="00FF506D" w:rsidRDefault="00FF506D" w:rsidP="00FF506D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FF506D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3" type="#_x0000_t75" style="width:20.25pt;height:17.25pt" o:ole="">
            <v:imagedata r:id="rId4" o:title=""/>
          </v:shape>
          <w:control r:id="rId80" w:name="DefaultOcxName73" w:shapeid="_x0000_i1173"/>
        </w:object>
      </w:r>
      <w:r w:rsidRPr="00FF506D">
        <w:rPr>
          <w:rFonts w:ascii="Arial" w:eastAsia="Times New Roman" w:hAnsi="Arial" w:cs="Arial"/>
          <w:color w:val="2F6473"/>
          <w:lang w:eastAsia="es-ES"/>
        </w:rPr>
        <w:t>d. Sólo la policía</w:t>
      </w:r>
    </w:p>
    <w:p w:rsidR="00FF506D" w:rsidRPr="00FF506D" w:rsidRDefault="00FF506D" w:rsidP="00FF506D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FF506D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FF506D" w:rsidRPr="00FF506D" w:rsidRDefault="00FF506D" w:rsidP="00FF506D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FF506D">
        <w:rPr>
          <w:rFonts w:ascii="Arial" w:eastAsia="Times New Roman" w:hAnsi="Arial" w:cs="Arial"/>
          <w:color w:val="7D5A29"/>
          <w:lang w:eastAsia="es-ES"/>
        </w:rPr>
        <w:t>La respuesta correcta es: Cualquiera que tenga conocimiento del hecho</w:t>
      </w:r>
    </w:p>
    <w:p w:rsidR="004C6BC1" w:rsidRDefault="004C6BC1">
      <w:bookmarkStart w:id="0" w:name="_GoBack"/>
      <w:bookmarkEnd w:id="0"/>
    </w:p>
    <w:sectPr w:rsidR="004C6B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55B"/>
    <w:rsid w:val="000F255B"/>
    <w:rsid w:val="004C6BC1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FBC66-D88D-4771-BF2C-E2D623FF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215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505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33321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426272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907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1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71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19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7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50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34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825680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5725101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935322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638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946947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7527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21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47141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2159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017353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175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7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79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51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3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28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51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704619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49317815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54754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196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1086914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31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009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3913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1154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662016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1345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7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87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40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12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25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045620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373372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94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919812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3096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806863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8633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662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3437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3831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668941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7438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92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05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78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9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452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25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38917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337176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50192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3706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799134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13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368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4653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046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9904057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9551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66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13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8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25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60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49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824785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352196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51797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7727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8856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327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69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656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899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224469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1227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0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0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61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7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40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19028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607153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32690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03487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68278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005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35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78900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939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617081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518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80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1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7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46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48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93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728357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0655950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82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46365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3963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437960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236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032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3376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64691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647915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9389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1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87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79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08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453070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183996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2687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2784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447379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2340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7615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1965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585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531828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6028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82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4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44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6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5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18110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539734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72219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4083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328954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40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380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765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07544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397140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25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1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7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55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96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63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325140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00728853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63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40852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092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900886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544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581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1504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754548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4659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19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2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51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83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85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144695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814362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9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7533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544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701948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326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501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6682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5487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740898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9510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15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8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87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8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97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99093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3735047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03505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6809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243284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533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21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9306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972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318914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9918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8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68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21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56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97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546829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679906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42512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1009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096845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685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497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7233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67225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310070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00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0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8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54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4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30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80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791642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0974318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1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62409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02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297478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054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23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016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33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141517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6386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21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8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89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17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80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50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926306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559010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66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16" Type="http://schemas.openxmlformats.org/officeDocument/2006/relationships/control" Target="activeX/activeX10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theme" Target="theme/theme1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7" Type="http://schemas.openxmlformats.org/officeDocument/2006/relationships/image" Target="media/image2.wmf"/><Relationship Id="rId71" Type="http://schemas.openxmlformats.org/officeDocument/2006/relationships/control" Target="activeX/activeX65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1310</Words>
  <Characters>7211</Characters>
  <Application>Microsoft Office Word</Application>
  <DocSecurity>0</DocSecurity>
  <Lines>60</Lines>
  <Paragraphs>17</Paragraphs>
  <ScaleCrop>false</ScaleCrop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Arévalo Otero</dc:creator>
  <cp:keywords/>
  <dc:description/>
  <cp:lastModifiedBy>Samuel Arévalo Otero</cp:lastModifiedBy>
  <cp:revision>2</cp:revision>
  <dcterms:created xsi:type="dcterms:W3CDTF">2019-12-20T18:25:00Z</dcterms:created>
  <dcterms:modified xsi:type="dcterms:W3CDTF">2019-12-20T18:26:00Z</dcterms:modified>
</cp:coreProperties>
</file>